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1656000" cy="3565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_h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6000" cy="356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rPr>
          <w:color w:val="0D1B2A"/>
        </w:rPr>
        <w:t>Food Safety Management System (FSMS) plan — starter</w:t>
      </w:r>
    </w:p>
    <w:p>
      <w:r>
        <w:rPr>
          <w:i/>
        </w:rPr>
        <w:t>An FSMS plan is part of every licence application. Use these sections and prompts, then align them to FSSAI’s sector guidance document for your kind of business.</w:t>
      </w:r>
    </w:p>
    <w:p>
      <w:pPr>
        <w:pStyle w:val="Heading2"/>
      </w:pPr>
      <w:r>
        <w:t>1. Business and scope</w:t>
      </w:r>
    </w:p>
    <w:p>
      <w:pPr>
        <w:pStyle w:val="ListBullet"/>
      </w:pPr>
      <w:r>
        <w:t>Legal name, licence number, premises, kind of business</w:t>
      </w:r>
    </w:p>
    <w:p>
      <w:pPr>
        <w:pStyle w:val="ListBullet"/>
      </w:pPr>
      <w:r>
        <w:t>Products and food categories covered</w:t>
      </w:r>
    </w:p>
    <w:p>
      <w:pPr>
        <w:pStyle w:val="ListBullet"/>
      </w:pPr>
      <w:r>
        <w:t>Food safety team and responsibilities</w:t>
      </w:r>
    </w:p>
    <w:p>
      <w:pPr>
        <w:pStyle w:val="Heading2"/>
      </w:pPr>
      <w:r>
        <w:t>2. Prerequisite programmes (Schedule 4)</w:t>
      </w:r>
    </w:p>
    <w:p>
      <w:pPr>
        <w:pStyle w:val="ListBullet"/>
      </w:pPr>
      <w:r>
        <w:t>Premises and layout</w:t>
      </w:r>
    </w:p>
    <w:p>
      <w:pPr>
        <w:pStyle w:val="ListBullet"/>
      </w:pPr>
      <w:r>
        <w:t>Water quality and testing frequency</w:t>
      </w:r>
    </w:p>
    <w:p>
      <w:pPr>
        <w:pStyle w:val="ListBullet"/>
      </w:pPr>
      <w:r>
        <w:t>Cleaning and sanitation</w:t>
      </w:r>
    </w:p>
    <w:p>
      <w:pPr>
        <w:pStyle w:val="ListBullet"/>
      </w:pPr>
      <w:r>
        <w:t>Pest control</w:t>
      </w:r>
    </w:p>
    <w:p>
      <w:pPr>
        <w:pStyle w:val="ListBullet"/>
      </w:pPr>
      <w:r>
        <w:t>Personal hygiene and medical examination</w:t>
      </w:r>
    </w:p>
    <w:p>
      <w:pPr>
        <w:pStyle w:val="ListBullet"/>
      </w:pPr>
      <w:r>
        <w:t>Training (FoSTaC ratio 1:25)</w:t>
      </w:r>
    </w:p>
    <w:p>
      <w:pPr>
        <w:pStyle w:val="ListBullet"/>
      </w:pPr>
      <w:r>
        <w:t>Supplier approval and raw-material receipt</w:t>
      </w:r>
    </w:p>
    <w:p>
      <w:pPr>
        <w:pStyle w:val="ListBullet"/>
      </w:pPr>
      <w:r>
        <w:t>Storage, temperature control and stock rotation</w:t>
      </w:r>
    </w:p>
    <w:p>
      <w:pPr>
        <w:pStyle w:val="ListBullet"/>
      </w:pPr>
      <w:r>
        <w:t>Calibration of equipment</w:t>
      </w:r>
    </w:p>
    <w:p>
      <w:pPr>
        <w:pStyle w:val="ListBullet"/>
      </w:pPr>
      <w:r>
        <w:t>Waste management</w:t>
      </w:r>
    </w:p>
    <w:p>
      <w:pPr>
        <w:pStyle w:val="Heading2"/>
      </w:pPr>
      <w:r>
        <w:t>3. Hazard analysis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2493"/>
          </w:tcPr>
          <w:p>
            <w:r>
              <w:t>Process step</w:t>
            </w:r>
          </w:p>
        </w:tc>
        <w:tc>
          <w:tcPr>
            <w:tcW w:type="dxa" w:w="2493"/>
          </w:tcPr>
          <w:p>
            <w:r>
              <w:t>Hazard (biological / chemical / physical / allergen)</w:t>
            </w:r>
          </w:p>
        </w:tc>
        <w:tc>
          <w:tcPr>
            <w:tcW w:type="dxa" w:w="2493"/>
          </w:tcPr>
          <w:p>
            <w:r>
              <w:t>Control measure</w:t>
            </w:r>
          </w:p>
        </w:tc>
        <w:tc>
          <w:tcPr>
            <w:tcW w:type="dxa" w:w="2493"/>
          </w:tcPr>
          <w:p>
            <w:r>
              <w:t>Critical?</w:t>
            </w:r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  <w:tr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  <w:tc>
          <w:tcPr>
            <w:tcW w:type="dxa" w:w="2493"/>
          </w:tcPr>
          <w:p>
            <w:r/>
          </w:p>
        </w:tc>
      </w:tr>
    </w:tbl>
    <w:p>
      <w:pPr>
        <w:pStyle w:val="Heading2"/>
      </w:pPr>
      <w:r>
        <w:t>4. Critical control points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94"/>
        <w:gridCol w:w="1994"/>
        <w:gridCol w:w="1994"/>
        <w:gridCol w:w="1994"/>
        <w:gridCol w:w="1994"/>
      </w:tblGrid>
      <w:tr>
        <w:tc>
          <w:tcPr>
            <w:tcW w:type="dxa" w:w="1994"/>
          </w:tcPr>
          <w:p>
            <w:r>
              <w:t>CCP</w:t>
            </w:r>
          </w:p>
        </w:tc>
        <w:tc>
          <w:tcPr>
            <w:tcW w:type="dxa" w:w="1994"/>
          </w:tcPr>
          <w:p>
            <w:r>
              <w:t>Critical limit</w:t>
            </w:r>
          </w:p>
        </w:tc>
        <w:tc>
          <w:tcPr>
            <w:tcW w:type="dxa" w:w="1994"/>
          </w:tcPr>
          <w:p>
            <w:r>
              <w:t>Monitoring (what/how/who/frequency)</w:t>
            </w:r>
          </w:p>
        </w:tc>
        <w:tc>
          <w:tcPr>
            <w:tcW w:type="dxa" w:w="1994"/>
          </w:tcPr>
          <w:p>
            <w:r>
              <w:t>Corrective action</w:t>
            </w:r>
          </w:p>
        </w:tc>
        <w:tc>
          <w:tcPr>
            <w:tcW w:type="dxa" w:w="1994"/>
          </w:tcPr>
          <w:p>
            <w:r>
              <w:t>Record</w:t>
            </w:r>
          </w:p>
        </w:tc>
      </w:tr>
      <w:tr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  <w:tc>
          <w:tcPr>
            <w:tcW w:type="dxa" w:w="1994"/>
          </w:tcPr>
          <w:p>
            <w:r/>
          </w:p>
        </w:tc>
      </w:tr>
    </w:tbl>
    <w:p>
      <w:pPr>
        <w:pStyle w:val="Heading2"/>
      </w:pPr>
      <w:r>
        <w:t>5. Records</w:t>
      </w:r>
    </w:p>
    <w:p>
      <w:r>
        <w:t>List each register kept, who keeps it and retention (one year or shelf life, whichever is longer — Schedule 4, 8.2).</w:t>
      </w:r>
    </w:p>
    <w:p>
      <w:pPr>
        <w:pStyle w:val="Heading2"/>
      </w:pPr>
      <w:r>
        <w:t>6. Verification and review</w:t>
      </w:r>
    </w:p>
    <w:p>
      <w:pPr>
        <w:pStyle w:val="ListBullet"/>
      </w:pPr>
      <w:r>
        <w:t>Internal audit at least yearly</w:t>
      </w:r>
    </w:p>
    <w:p>
      <w:pPr>
        <w:pStyle w:val="ListBullet"/>
      </w:pPr>
      <w:r>
        <w:t>Product testing every six months (manufacturers)</w:t>
      </w:r>
    </w:p>
    <w:p>
      <w:pPr>
        <w:pStyle w:val="ListBullet"/>
      </w:pPr>
      <w:r>
        <w:t>Review after any complaint, recall or change of process</w:t>
      </w:r>
    </w:p>
    <w:p/>
    <w:p>
      <w:r>
        <w:rPr>
          <w:color w:val="5E6B7A"/>
          <w:sz w:val="16"/>
        </w:rPr>
        <w:t>Template prepared by FoodRaksha, 12 September 2026. Based on: Schedule 4, FSS (Licensing &amp; Registration) Regulations 2011; FSSAI FSMS guidance documents. Adapt it to your business and check the current FoSCoS requirements before use. This is not a government form. FoodRaksha is independent and not affiliated with FSSAI.</w:t>
      </w:r>
    </w:p>
    <w:sectPr w:rsidR="00FC693F" w:rsidRPr="0006063C" w:rsidSect="00034616">
      <w:pgSz w:w="12240" w:h="15840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